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D34948">
      <w:pPr>
        <w:spacing w:after="160" w:line="259" w:lineRule="auto"/>
        <w:ind w:left="0" w:firstLine="0"/>
        <w:rPr>
          <w:rFonts w:ascii="Times New Roman" w:hAnsi="Times New Roman" w:cs="Times New Roman" w:eastAsiaTheme="minorHAnsi"/>
          <w:color w:val="auto"/>
          <w:sz w:val="22"/>
          <w:lang w:eastAsia="en-US"/>
        </w:rPr>
      </w:pPr>
      <w:r>
        <w:rPr>
          <w:rFonts w:ascii="Times New Roman" w:hAnsi="Times New Roman" w:cs="Times New Roman" w:eastAsiaTheme="minorHAnsi"/>
          <w:b/>
          <w:color w:val="auto"/>
          <w:sz w:val="22"/>
          <w:lang w:eastAsia="en-US"/>
        </w:rPr>
        <w:t xml:space="preserve">       </w:t>
      </w:r>
      <w:r>
        <w:rPr>
          <w:rFonts w:ascii="Times New Roman" w:hAnsi="Times New Roman" w:cs="Times New Roman" w:eastAsiaTheme="minorHAnsi"/>
          <w:b/>
          <w:color w:val="auto"/>
          <w:sz w:val="22"/>
        </w:rPr>
        <w:drawing>
          <wp:inline distT="0" distB="0" distL="114300" distR="114300">
            <wp:extent cx="475615" cy="560705"/>
            <wp:effectExtent l="0" t="0" r="635" b="10795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5615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 w:eastAsiaTheme="minorHAnsi"/>
          <w:b/>
          <w:color w:val="auto"/>
          <w:sz w:val="22"/>
          <w:lang w:eastAsia="en-US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 w:eastAsiaTheme="minorHAnsi"/>
          <w:color w:val="auto"/>
          <w:sz w:val="22"/>
          <w:lang w:eastAsia="en-US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16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79"/>
        <w:gridCol w:w="2693"/>
      </w:tblGrid>
      <w:tr w14:paraId="0A2C80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79" w:type="dxa"/>
          </w:tcPr>
          <w:p w14:paraId="0B2C4939">
            <w:pPr>
              <w:spacing w:after="0" w:line="259" w:lineRule="auto"/>
              <w:ind w:left="0" w:firstLine="0"/>
              <w:rPr>
                <w:rFonts w:ascii="Times New Roman" w:hAnsi="Times New Roman" w:cs="Times New Roman" w:eastAsiaTheme="minorHAnsi"/>
                <w:b/>
                <w:color w:val="auto"/>
                <w:sz w:val="22"/>
                <w:lang w:eastAsia="en-US"/>
              </w:rPr>
            </w:pPr>
            <w:bookmarkStart w:id="0" w:name="_Hlk128748807"/>
            <w:r>
              <w:rPr>
                <w:rFonts w:ascii="Times New Roman" w:hAnsi="Times New Roman" w:cs="Times New Roman" w:eastAsiaTheme="minorHAnsi"/>
                <w:b/>
                <w:color w:val="auto"/>
                <w:sz w:val="22"/>
                <w:lang w:eastAsia="en-US"/>
              </w:rPr>
              <w:t>REPUBLIKA HRVATSKA</w:t>
            </w:r>
          </w:p>
          <w:p w14:paraId="63118F71">
            <w:pPr>
              <w:spacing w:after="160" w:line="259" w:lineRule="auto"/>
              <w:ind w:left="0" w:firstLine="0"/>
              <w:rPr>
                <w:rFonts w:ascii="Times New Roman" w:hAnsi="Times New Roman" w:cs="Times New Roman" w:eastAsiaTheme="minorHAnsi"/>
                <w:color w:val="auto"/>
                <w:sz w:val="22"/>
                <w:lang w:eastAsia="en-US"/>
              </w:rPr>
            </w:pPr>
            <w:r>
              <w:rPr>
                <w:rFonts w:ascii="Times New Roman" w:hAnsi="Times New Roman" w:cs="Times New Roman" w:eastAsiaTheme="minorHAnsi"/>
                <w:b/>
                <w:color w:val="auto"/>
                <w:sz w:val="22"/>
                <w:lang w:eastAsia="en-US"/>
              </w:rPr>
              <w:t>OSNOVNA ŠKOLA MILANA BEGOVIĆA VRLIKA</w:t>
            </w:r>
            <w:r>
              <w:rPr>
                <w:rFonts w:ascii="Times New Roman" w:hAnsi="Times New Roman" w:cs="Times New Roman" w:eastAsiaTheme="minorHAnsi"/>
                <w:color w:val="auto"/>
                <w:sz w:val="22"/>
                <w:lang w:eastAsia="en-US"/>
              </w:rPr>
              <w:t xml:space="preserve">                                                                                                      Trg dr. Franje Tuđmana 6, 21236 Vrlika                                                                                                     KLASA: </w:t>
            </w:r>
            <w:r>
              <w:rPr>
                <w:rFonts w:ascii="Times New Roman" w:hAnsi="Times New Roman" w:cs="Times New Roman"/>
                <w:lang w:val="en-US"/>
              </w:rPr>
              <w:t>112-02/26-01/17</w:t>
            </w:r>
            <w:r>
              <w:rPr>
                <w:rFonts w:ascii="Times New Roman" w:hAnsi="Times New Roman" w:cs="Times New Roman" w:eastAsiaTheme="minorHAnsi"/>
                <w:color w:val="auto"/>
                <w:sz w:val="22"/>
                <w:lang w:eastAsia="en-US"/>
              </w:rPr>
              <w:t xml:space="preserve">                                                                                                                                        URBROJ: 2181-278-01-26-1                                                                                                          Vrlika, </w:t>
            </w:r>
            <w:r>
              <w:rPr>
                <w:rFonts w:hint="default" w:ascii="Times New Roman" w:hAnsi="Times New Roman" w:cs="Times New Roman" w:eastAsiaTheme="minorHAnsi"/>
                <w:color w:val="auto"/>
                <w:sz w:val="22"/>
                <w:lang w:val="hr-HR" w:eastAsia="en-US"/>
              </w:rPr>
              <w:t>05</w:t>
            </w:r>
            <w:r>
              <w:rPr>
                <w:rFonts w:ascii="Times New Roman" w:hAnsi="Times New Roman" w:cs="Times New Roman" w:eastAsiaTheme="minorHAnsi"/>
                <w:color w:val="auto"/>
                <w:sz w:val="22"/>
                <w:lang w:eastAsia="en-US"/>
              </w:rPr>
              <w:t xml:space="preserve">. </w:t>
            </w:r>
            <w:r>
              <w:rPr>
                <w:rFonts w:hint="default" w:ascii="Times New Roman" w:hAnsi="Times New Roman" w:cs="Times New Roman" w:eastAsiaTheme="minorHAnsi"/>
                <w:color w:val="auto"/>
                <w:sz w:val="22"/>
                <w:lang w:val="hr-HR" w:eastAsia="en-US"/>
              </w:rPr>
              <w:t>listopad</w:t>
            </w:r>
            <w:r>
              <w:rPr>
                <w:rFonts w:ascii="Times New Roman" w:hAnsi="Times New Roman" w:cs="Times New Roman" w:eastAsiaTheme="minorHAnsi"/>
                <w:color w:val="auto"/>
                <w:sz w:val="22"/>
                <w:lang w:eastAsia="en-US"/>
              </w:rPr>
              <w:t xml:space="preserve">a 2026. </w:t>
            </w:r>
          </w:p>
        </w:tc>
        <w:tc>
          <w:tcPr>
            <w:tcW w:w="2693" w:type="dxa"/>
          </w:tcPr>
          <w:p w14:paraId="0FC58519">
            <w:pPr>
              <w:spacing w:after="160" w:line="259" w:lineRule="auto"/>
              <w:ind w:left="0" w:firstLine="0"/>
              <w:jc w:val="right"/>
              <w:rPr>
                <w:rFonts w:ascii="Times New Roman" w:hAnsi="Times New Roman" w:cs="Times New Roman" w:eastAsiaTheme="minorHAnsi"/>
                <w:color w:val="auto"/>
                <w:sz w:val="22"/>
                <w:lang w:eastAsia="en-US"/>
              </w:rPr>
            </w:pPr>
            <w:r>
              <w:drawing>
                <wp:inline distT="0" distB="0" distL="114300" distR="114300">
                  <wp:extent cx="933450" cy="9334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3580" cy="9335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bookmarkEnd w:id="0"/>
    </w:tbl>
    <w:p w14:paraId="0387B0B8">
      <w:pPr>
        <w:jc w:val="both"/>
        <w:rPr>
          <w:rFonts w:ascii="Times New Roman" w:hAnsi="Times New Roman" w:eastAsia="Calibri"/>
          <w:sz w:val="22"/>
          <w:szCs w:val="22"/>
        </w:rPr>
      </w:pPr>
    </w:p>
    <w:p w14:paraId="6EA4CAF6">
      <w:pPr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 </w:t>
      </w:r>
    </w:p>
    <w:p w14:paraId="5B95EF7C">
      <w:pPr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Na temelju članka 107. Zakona o odgoju i obrazovanju u osnovnoj i srednjoj školi („Narodne novine“ broj </w:t>
      </w:r>
      <w:r>
        <w:rPr>
          <w:rFonts w:ascii="Times New Roman" w:hAnsi="Times New Roman" w:eastAsia="Calibri"/>
          <w:color w:val="000000"/>
          <w:sz w:val="22"/>
          <w:szCs w:val="22"/>
        </w:rPr>
        <w:t xml:space="preserve">87/08., 86/09., 92/10., 105/10.-ispr, 90/11.,5/12., 16/12., 86/12., 94/13., 136/14.-RUSRH, </w:t>
      </w:r>
      <w:r>
        <w:rPr>
          <w:rStyle w:val="20"/>
          <w:rFonts w:ascii="Times New Roman" w:hAnsi="Times New Roman" w:eastAsia="Calibri"/>
          <w:b w:val="0"/>
          <w:color w:val="000000"/>
          <w:sz w:val="22"/>
          <w:szCs w:val="22"/>
        </w:rPr>
        <w:t xml:space="preserve">152/14., </w:t>
      </w:r>
      <w:r>
        <w:rPr>
          <w:rFonts w:ascii="Times New Roman" w:hAnsi="Times New Roman" w:eastAsia="Calibri"/>
          <w:sz w:val="22"/>
          <w:szCs w:val="22"/>
        </w:rPr>
        <w:t>7/17. i 68/18., 98/19., 64/20., 151/22., 156/23.</w:t>
      </w:r>
      <w:r>
        <w:rPr>
          <w:rFonts w:ascii="Times New Roman" w:hAnsi="Times New Roman" w:eastAsia="Calibri"/>
          <w:color w:val="000000"/>
          <w:sz w:val="22"/>
          <w:szCs w:val="22"/>
        </w:rPr>
        <w:t>) članka 13. Pravilnika o radu te članaka 8. i 9. Pravilnika o postupku zapošljavanja te procjeni i vrednovanju kandidata za zapošljavanje (KLASA:003-05/19-01/03, URBROJ:2175-15-01-19-01 od 14. svibnja 2019.godine) i odredbi Pravilnika o izmjenama i dopunama Pravilnika o postupku zapošljavanja te procjeni i vrednovanju kandidata za zapošljavanje (KLASA: 003-05/20-01/02, URBROJ: 2175-15-01-20-01 od 01. lipnja 2020. godine), ( u daljnjem tekstu: Pravilnik )</w:t>
      </w:r>
      <w:r>
        <w:rPr>
          <w:rFonts w:ascii="Times New Roman" w:hAnsi="Times New Roman" w:eastAsia="Calibri"/>
          <w:i/>
          <w:color w:val="00B0F0"/>
          <w:sz w:val="22"/>
          <w:szCs w:val="22"/>
        </w:rPr>
        <w:t xml:space="preserve"> </w:t>
      </w:r>
      <w:r>
        <w:rPr>
          <w:rFonts w:ascii="Times New Roman" w:hAnsi="Times New Roman" w:eastAsia="Calibri"/>
          <w:sz w:val="22"/>
          <w:szCs w:val="22"/>
        </w:rPr>
        <w:t>ravnateljica Osnovne škole Milana Begovića, Vrlika objavljuje:</w:t>
      </w:r>
    </w:p>
    <w:p w14:paraId="76F45A65">
      <w:pPr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 </w:t>
      </w:r>
    </w:p>
    <w:p w14:paraId="37B65F15">
      <w:pPr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 </w:t>
      </w:r>
    </w:p>
    <w:p w14:paraId="2CBD2D9B">
      <w:pPr>
        <w:contextualSpacing/>
        <w:jc w:val="center"/>
        <w:rPr>
          <w:rFonts w:ascii="Times New Roman" w:hAnsi="Times New Roman" w:eastAsia="Calibri"/>
          <w:b/>
          <w:sz w:val="22"/>
          <w:szCs w:val="22"/>
        </w:rPr>
      </w:pPr>
      <w:r>
        <w:rPr>
          <w:rFonts w:ascii="Times New Roman" w:hAnsi="Times New Roman" w:eastAsia="Calibri"/>
          <w:b/>
          <w:sz w:val="22"/>
          <w:szCs w:val="22"/>
        </w:rPr>
        <w:t>NATJEČAJ</w:t>
      </w:r>
    </w:p>
    <w:p w14:paraId="2CFFC2AA">
      <w:pPr>
        <w:contextualSpacing/>
        <w:jc w:val="center"/>
        <w:rPr>
          <w:rFonts w:ascii="Times New Roman" w:hAnsi="Times New Roman" w:eastAsia="Calibri"/>
          <w:b/>
          <w:sz w:val="22"/>
          <w:szCs w:val="22"/>
        </w:rPr>
      </w:pPr>
      <w:r>
        <w:rPr>
          <w:rFonts w:ascii="Times New Roman" w:hAnsi="Times New Roman" w:eastAsia="Calibri"/>
          <w:b/>
          <w:color w:val="000000"/>
          <w:sz w:val="22"/>
          <w:szCs w:val="22"/>
        </w:rPr>
        <w:t>za zasnivanje radnog odnosa na radnom mjestu</w:t>
      </w:r>
    </w:p>
    <w:p w14:paraId="5CFB9031">
      <w:pPr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 </w:t>
      </w:r>
    </w:p>
    <w:p w14:paraId="535B2D14">
      <w:pPr>
        <w:numPr>
          <w:ilvl w:val="0"/>
          <w:numId w:val="1"/>
        </w:numPr>
        <w:tabs>
          <w:tab w:val="left" w:pos="315"/>
          <w:tab w:val="left" w:pos="31680"/>
          <w:tab w:val="clear" w:pos="720"/>
        </w:tabs>
        <w:contextualSpacing/>
        <w:rPr>
          <w:rFonts w:ascii="Times New Roman" w:hAnsi="Times New Roman" w:eastAsia="Times New Roman"/>
          <w:i/>
          <w:sz w:val="22"/>
          <w:szCs w:val="22"/>
        </w:rPr>
      </w:pPr>
      <w:r>
        <w:rPr>
          <w:rFonts w:ascii="Times New Roman" w:hAnsi="Times New Roman"/>
          <w:b/>
          <w:bCs/>
          <w:iCs/>
          <w:sz w:val="22"/>
          <w:szCs w:val="22"/>
        </w:rPr>
        <w:t>Učitelja koji obavlja poslove UČITELJA</w:t>
      </w:r>
      <w:r>
        <w:rPr>
          <w:rFonts w:hint="default" w:ascii="Times New Roman" w:hAnsi="Times New Roman"/>
          <w:b/>
          <w:bCs/>
          <w:iCs/>
          <w:sz w:val="22"/>
          <w:szCs w:val="22"/>
          <w:lang w:val="hr-HR"/>
        </w:rPr>
        <w:t>/ICE</w:t>
      </w:r>
      <w:bookmarkStart w:id="1" w:name="_GoBack"/>
      <w:bookmarkEnd w:id="1"/>
      <w:r>
        <w:rPr>
          <w:rFonts w:ascii="Times New Roman" w:hAnsi="Times New Roman"/>
          <w:b/>
          <w:bCs/>
          <w:iCs/>
          <w:sz w:val="22"/>
          <w:szCs w:val="22"/>
        </w:rPr>
        <w:t xml:space="preserve"> RAZREDNE NASTAVE (m/ž)</w:t>
      </w:r>
      <w:r>
        <w:rPr>
          <w:rFonts w:ascii="Times New Roman" w:hAnsi="Times New Roman"/>
          <w:i/>
          <w:sz w:val="22"/>
          <w:szCs w:val="22"/>
        </w:rPr>
        <w:t xml:space="preserve"> - </w:t>
      </w:r>
      <w:r>
        <w:rPr>
          <w:rFonts w:ascii="Times New Roman" w:hAnsi="Times New Roman" w:eastAsia="Calibri"/>
          <w:sz w:val="22"/>
          <w:szCs w:val="22"/>
        </w:rPr>
        <w:t>1 izvršitelj/ica</w:t>
      </w:r>
      <w:r>
        <w:rPr>
          <w:rFonts w:ascii="Times New Roman" w:hAnsi="Times New Roman" w:eastAsia="Calibri"/>
          <w:color w:val="00B0F0"/>
          <w:sz w:val="22"/>
          <w:szCs w:val="22"/>
        </w:rPr>
        <w:t xml:space="preserve"> </w:t>
      </w:r>
      <w:r>
        <w:rPr>
          <w:rFonts w:ascii="Times New Roman" w:hAnsi="Times New Roman" w:eastAsia="Calibri"/>
          <w:sz w:val="22"/>
          <w:szCs w:val="22"/>
        </w:rPr>
        <w:t xml:space="preserve">na određeno nepuno radno vrijeme,20 </w:t>
      </w:r>
      <w:r>
        <w:rPr>
          <w:rFonts w:ascii="Times New Roman" w:hAnsi="Times New Roman"/>
          <w:bCs/>
          <w:sz w:val="22"/>
          <w:szCs w:val="22"/>
        </w:rPr>
        <w:t>sati ukupnog tjednog radnog vremena (zamjena).</w:t>
      </w:r>
    </w:p>
    <w:p w14:paraId="30D99713">
      <w:pPr>
        <w:contextualSpacing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/>
          <w:i/>
          <w:sz w:val="22"/>
          <w:szCs w:val="22"/>
        </w:rPr>
        <w:t xml:space="preserve"> </w:t>
      </w:r>
    </w:p>
    <w:p w14:paraId="3B797C5A">
      <w:pPr>
        <w:contextualSpacing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>Mjesto rada: Osnovna škola Milana Begovića</w:t>
      </w:r>
    </w:p>
    <w:p w14:paraId="10933F8E">
      <w:pPr>
        <w:contextualSpacing/>
        <w:jc w:val="both"/>
        <w:rPr>
          <w:rFonts w:ascii="Times New Roman" w:hAnsi="Times New Roman"/>
          <w:bCs/>
          <w:sz w:val="22"/>
          <w:szCs w:val="22"/>
        </w:rPr>
      </w:pPr>
      <w:r>
        <w:rPr>
          <w:rFonts w:ascii="Times New Roman" w:hAnsi="Times New Roman"/>
          <w:bCs/>
          <w:sz w:val="22"/>
          <w:szCs w:val="22"/>
        </w:rPr>
        <w:t xml:space="preserve"> </w:t>
      </w:r>
    </w:p>
    <w:p w14:paraId="3FACE836">
      <w:pPr>
        <w:contextualSpacing/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Prema članku 105. i 106. Zakona  o odgoju i obrazovanju u osnovnoj i srednjoj školi (NN br.</w:t>
      </w:r>
      <w:r>
        <w:rPr>
          <w:rFonts w:ascii="Times New Roman" w:hAnsi="Times New Roman" w:eastAsia="Calibri"/>
          <w:color w:val="000000"/>
          <w:sz w:val="22"/>
          <w:szCs w:val="22"/>
        </w:rPr>
        <w:t xml:space="preserve"> 87/08., 86/09., 92/10., 105/10.-ispr, 90/11.,5/12., 16/12., 86/12., 94/13., 136/14.-RUSRH, </w:t>
      </w:r>
      <w:r>
        <w:rPr>
          <w:rStyle w:val="20"/>
          <w:rFonts w:ascii="Times New Roman" w:hAnsi="Times New Roman" w:eastAsia="Calibri"/>
          <w:b w:val="0"/>
          <w:color w:val="000000"/>
          <w:sz w:val="22"/>
          <w:szCs w:val="22"/>
        </w:rPr>
        <w:t xml:space="preserve">152/14., </w:t>
      </w:r>
      <w:r>
        <w:rPr>
          <w:rFonts w:ascii="Times New Roman" w:hAnsi="Times New Roman" w:eastAsia="Calibri"/>
          <w:sz w:val="22"/>
          <w:szCs w:val="22"/>
        </w:rPr>
        <w:t>7/17. i 68/18., 98/19., 64/20., 151/22., 156/23.) uz opće uvjete za zasnivanje radnog odnosa, sukladno općim propisima o o radu, osoba koja zasniva radni odnos u školskoj ustanovi mora ispunjavati i posebne uvjete za zasnivanje radnog odnosa.</w:t>
      </w:r>
    </w:p>
    <w:p w14:paraId="664C3975">
      <w:pPr>
        <w:contextualSpacing/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 </w:t>
      </w:r>
    </w:p>
    <w:p w14:paraId="0B9D65FA">
      <w:pPr>
        <w:contextualSpacing/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Posebni uvjeti za zasnivanje radnog odnosa u školskoj ustanovi za osobe koje sudjeluju u odgojno obrazovnom radu s učenicima jesu:</w:t>
      </w:r>
    </w:p>
    <w:p w14:paraId="38D20E35">
      <w:pPr>
        <w:contextualSpacing/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-poznavanje hrvatskog jezika i latiničnog pisma u mjeri koja omogućava izvođenje odgojno obrazovnog rada;</w:t>
      </w:r>
    </w:p>
    <w:p w14:paraId="72DA1B12">
      <w:pPr>
        <w:contextualSpacing/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-odgovarajuća vrsta i razina obrazovanja  u skladu s člankom 105. Zakona  o odgoju i obrazovanju u osnovnoj i srednjoj školi (NN br.</w:t>
      </w:r>
      <w:r>
        <w:rPr>
          <w:rFonts w:ascii="Times New Roman" w:hAnsi="Times New Roman" w:eastAsia="Calibri"/>
          <w:color w:val="000000"/>
          <w:sz w:val="22"/>
          <w:szCs w:val="22"/>
        </w:rPr>
        <w:t xml:space="preserve"> 87/08., 86/09., 92/10., 105/10.-ispr, 90/11.,5/12., 16/12., 86/12., 94/13., 136/14.-RUSRH, </w:t>
      </w:r>
      <w:r>
        <w:rPr>
          <w:rStyle w:val="20"/>
          <w:rFonts w:ascii="Times New Roman" w:hAnsi="Times New Roman" w:eastAsia="Calibri"/>
          <w:b w:val="0"/>
          <w:color w:val="000000"/>
          <w:sz w:val="22"/>
          <w:szCs w:val="22"/>
        </w:rPr>
        <w:t xml:space="preserve">152/14., </w:t>
      </w:r>
      <w:r>
        <w:rPr>
          <w:rFonts w:ascii="Times New Roman" w:hAnsi="Times New Roman" w:eastAsia="Calibri"/>
          <w:sz w:val="22"/>
          <w:szCs w:val="22"/>
        </w:rPr>
        <w:t>7/17. i 68/18., 98/19., 64/20., 151/22., 156/23.) i članku 4.  Pravilnikom o odgovarajućoj  vrsti obrazovanja učitelja i stručnih suradnika u osnovnoj i školi (NN br. 6/19, 75/20.)</w:t>
      </w:r>
    </w:p>
    <w:p w14:paraId="77DFDF11">
      <w:pPr>
        <w:contextualSpacing/>
        <w:rPr>
          <w:rFonts w:ascii="Times New Roman" w:hAnsi="Times New Roman" w:eastAsia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</w:p>
    <w:p w14:paraId="34BDFCA3">
      <w:pPr>
        <w:contextualSpacing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</w:p>
    <w:p w14:paraId="00649BC1">
      <w:pPr>
        <w:contextualSpacing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Radni odnos ne može zasnovati osoba  za koju postoje zapreke iz članka 106. Zakona o odgoju i obrazovanju u osnovnoj i srednjoj školi.</w:t>
      </w:r>
    </w:p>
    <w:p w14:paraId="54E630C1">
      <w:pPr>
        <w:contextualSpacing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Na natječaj se mogu javiti </w:t>
      </w:r>
      <w:r>
        <w:rPr>
          <w:rFonts w:ascii="Times New Roman" w:hAnsi="Times New Roman" w:eastAsia="Calibri"/>
          <w:color w:val="000000"/>
          <w:sz w:val="22"/>
          <w:szCs w:val="22"/>
        </w:rPr>
        <w:t>muške i ženske osobe</w:t>
      </w:r>
      <w:r>
        <w:rPr>
          <w:rFonts w:ascii="Times New Roman" w:hAnsi="Times New Roman"/>
          <w:sz w:val="22"/>
          <w:szCs w:val="22"/>
        </w:rPr>
        <w:t xml:space="preserve"> u skladu sa Zakonom o ravnopravnosti spolova (Narodne novine 82/08. i 69/17.)</w:t>
      </w:r>
    </w:p>
    <w:p w14:paraId="07B80BC0">
      <w:pPr>
        <w:contextualSpacing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</w:p>
    <w:p w14:paraId="59E0A102">
      <w:pPr>
        <w:contextualSpacing/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U prijavi na natječaj navodi se </w:t>
      </w:r>
      <w:r>
        <w:rPr>
          <w:rFonts w:ascii="Times New Roman" w:hAnsi="Times New Roman" w:eastAsia="Calibri"/>
          <w:color w:val="000000"/>
          <w:sz w:val="22"/>
          <w:szCs w:val="22"/>
        </w:rPr>
        <w:t>adresa odnosno e-mail adresa na koju će se dostaviti obavijest o datumu i vremenu procjene</w:t>
      </w:r>
      <w:r>
        <w:rPr>
          <w:rFonts w:ascii="Times New Roman" w:hAnsi="Times New Roman" w:eastAsia="Calibri"/>
          <w:sz w:val="22"/>
          <w:szCs w:val="22"/>
        </w:rPr>
        <w:t xml:space="preserve"> odnosno testiranja. </w:t>
      </w:r>
    </w:p>
    <w:p w14:paraId="2035EBB7">
      <w:pPr>
        <w:contextualSpacing/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Prijava na natječaj mora sadržavati:</w:t>
      </w:r>
    </w:p>
    <w:p w14:paraId="194443BF">
      <w:pPr>
        <w:contextualSpacing/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-osobno ime,</w:t>
      </w:r>
    </w:p>
    <w:p w14:paraId="1A0B5F42">
      <w:pPr>
        <w:contextualSpacing/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-adresu stanovanja,</w:t>
      </w:r>
    </w:p>
    <w:p w14:paraId="3288DBEF">
      <w:pPr>
        <w:contextualSpacing/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-kontakt; broj telefona i/ili mobitela,</w:t>
      </w:r>
    </w:p>
    <w:p w14:paraId="61385779">
      <w:pPr>
        <w:contextualSpacing/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-e-mail adresu,</w:t>
      </w:r>
    </w:p>
    <w:p w14:paraId="40319484">
      <w:pPr>
        <w:contextualSpacing/>
        <w:jc w:val="both"/>
        <w:rPr>
          <w:rFonts w:ascii="Times New Roman" w:hAnsi="Times New Roman" w:eastAsia="Calibri"/>
          <w:i/>
          <w:color w:val="00B0F0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-radno mjesto za koje se prijavljuje</w:t>
      </w:r>
    </w:p>
    <w:p w14:paraId="64D01D9E">
      <w:pPr>
        <w:contextualSpacing/>
        <w:jc w:val="both"/>
        <w:rPr>
          <w:rFonts w:ascii="Times New Roman" w:hAnsi="Times New Roman" w:eastAsia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14:paraId="5EBF5C14">
      <w:pPr>
        <w:contextualSpacing/>
        <w:jc w:val="both"/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Uz prijavu na natječaj kandidati trebaju dostaviti sljedeću dokumentaciju:</w:t>
      </w:r>
    </w:p>
    <w:p w14:paraId="519039AD">
      <w:pPr>
        <w:numPr>
          <w:ilvl w:val="0"/>
          <w:numId w:val="2"/>
        </w:numPr>
        <w:contextualSpacing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životopis</w:t>
      </w:r>
    </w:p>
    <w:p w14:paraId="4C811087">
      <w:pPr>
        <w:numPr>
          <w:ilvl w:val="0"/>
          <w:numId w:val="2"/>
        </w:numPr>
        <w:contextualSpacing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diplomu odnosno dokaz o odgovarajućem stupnju obrazovanja,</w:t>
      </w:r>
    </w:p>
    <w:p w14:paraId="1F1D8336">
      <w:pPr>
        <w:numPr>
          <w:ilvl w:val="0"/>
          <w:numId w:val="2"/>
        </w:numPr>
        <w:contextualSpacing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dokaz o državljanstvu</w:t>
      </w:r>
    </w:p>
    <w:p w14:paraId="059610D1">
      <w:pPr>
        <w:numPr>
          <w:ilvl w:val="0"/>
          <w:numId w:val="2"/>
        </w:numPr>
        <w:contextualSpacing/>
        <w:jc w:val="both"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uvjerenje nadležnog suda da podnositelj prijave nije pod istragom i da se protiv podnositelja prijave ne vodi kazneni postupak glede zapreka za zasnivanje radnog odnosa iz članka 106. Zakona o odgoju i obrazovanju u osnovnoj i srednjoj školi, s naznakom roka izdavanja, ne starije od 30 dana od dana objavljivanja natječaja</w:t>
      </w:r>
    </w:p>
    <w:p w14:paraId="3F9D9F23">
      <w:pPr>
        <w:numPr>
          <w:ilvl w:val="0"/>
          <w:numId w:val="2"/>
        </w:numPr>
        <w:contextualSpacing/>
        <w:rPr>
          <w:rFonts w:ascii="Times New Roman" w:hAnsi="Times New Roman"/>
          <w:i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elektronički zapis ili potvrdu o podacima evidentiranim u bazi podataka Hrvatskog zavoda za mirovinsko osiguranje koji mora sadržavati podatke o: poslodavcu, osnovi osiguranja, početku i prestanku osiguranja, radnom vremenu, stvarnoj i potrebnoj stručnoj spremi te trajanju staža osiguranja.</w:t>
      </w:r>
    </w:p>
    <w:p w14:paraId="2241F38F">
      <w:pPr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 </w:t>
      </w:r>
    </w:p>
    <w:p w14:paraId="220AE1C9">
      <w:pPr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Navedene isprave odnosno prilozi dostavljaju se u neovjerenoj preslici. </w:t>
      </w:r>
    </w:p>
    <w:p w14:paraId="038A6D93">
      <w:pPr>
        <w:jc w:val="both"/>
        <w:rPr>
          <w:rFonts w:ascii="Times New Roman" w:hAnsi="Times New Roman" w:eastAsia="Calibri"/>
          <w:color w:val="000000"/>
          <w:sz w:val="22"/>
          <w:szCs w:val="22"/>
        </w:rPr>
      </w:pPr>
      <w:r>
        <w:rPr>
          <w:rFonts w:ascii="Times New Roman" w:hAnsi="Times New Roman" w:eastAsia="Calibri"/>
          <w:color w:val="000000"/>
          <w:sz w:val="22"/>
          <w:szCs w:val="22"/>
        </w:rPr>
        <w:t>Prije sklapanja ugovora o radu odabrani/a</w:t>
      </w:r>
      <w:r>
        <w:rPr>
          <w:rFonts w:ascii="Times New Roman" w:hAnsi="Times New Roman" w:eastAsia="Calibri"/>
          <w:sz w:val="22"/>
          <w:szCs w:val="22"/>
        </w:rPr>
        <w:t xml:space="preserve"> kandidat/kinja</w:t>
      </w:r>
      <w:r>
        <w:rPr>
          <w:rFonts w:ascii="Times New Roman" w:hAnsi="Times New Roman" w:eastAsia="Calibri"/>
          <w:color w:val="000000"/>
          <w:sz w:val="22"/>
          <w:szCs w:val="22"/>
        </w:rPr>
        <w:t xml:space="preserve"> dužan/na je sve navedene priloge odnosno isprave dostaviti u izvorniku ili u preslici ovjerenoj od strane javnog bilježnika sukladno Zakonu o javnom bilježništvu  (Narodne novine broj 78/93., 29/94., 162/98., 16/07., 75/09., 120/16. i 57/22. )</w:t>
      </w:r>
    </w:p>
    <w:p w14:paraId="1C7DF847">
      <w:pPr>
        <w:pStyle w:val="19"/>
        <w:rPr>
          <w:rFonts w:eastAsia="Times New Roman"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Osobe koje se pozivaju na pravo prednosti sukladno članku 102. Zakona o hrvatskim braniteljima iz Domovinskog rata i članovima njihovih obitelji (Narodne novine 121/17, 98/19, 84/21, 156/23),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>
        <w:rPr>
          <w:color w:val="231F20"/>
          <w:sz w:val="22"/>
          <w:szCs w:val="22"/>
        </w:rPr>
        <w:t xml:space="preserve">članku 48. Zakona o civilnim stradalnicima iz Domovinskog rata (Narodne novine broj  84/21), </w:t>
      </w:r>
      <w:r>
        <w:rPr>
          <w:color w:val="000000"/>
          <w:sz w:val="22"/>
          <w:szCs w:val="22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10D15C4F">
      <w:pPr>
        <w:pStyle w:val="18"/>
        <w:shd w:val="clear" w:color="auto" w:fill="FFFFFF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 xml:space="preserve"> </w:t>
      </w:r>
    </w:p>
    <w:p w14:paraId="654408C5">
      <w:pPr>
        <w:pStyle w:val="18"/>
        <w:shd w:val="clear" w:color="auto" w:fill="FFFFFF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 xml:space="preserve">Osobe koje ostvaruju pravo prednosti pri zapošljavanju u skladu s člankom 102. Zakona o hrvatskim braniteljima iz Domovinskog rata i članovima njihovih obitelji (Narodne novine broj  121/17, 98/19, 84/21, 156/23), uz prijavu na natječaj dužne su priložiti i dokaze propisane člankom 103. stavak 1. Zakona o hrvatskim braniteljima iz Domovinskog rata i članovima njihovih obitelji </w:t>
      </w:r>
    </w:p>
    <w:p w14:paraId="4729BFFD">
      <w:pPr>
        <w:pStyle w:val="18"/>
        <w:shd w:val="clear" w:color="auto" w:fill="FFFFFF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</w:p>
    <w:p w14:paraId="55BB2CFB">
      <w:pPr>
        <w:pStyle w:val="18"/>
        <w:shd w:val="clear" w:color="auto" w:fill="FFFFFF"/>
        <w:textAlignment w:val="baseline"/>
        <w:rPr>
          <w:color w:val="231F20"/>
          <w:sz w:val="22"/>
          <w:szCs w:val="22"/>
        </w:rPr>
      </w:pPr>
      <w:r>
        <w:fldChar w:fldCharType="begin"/>
      </w:r>
      <w:r>
        <w:instrText xml:space="preserve">HYPERLINK "https://branitelji.gov.hr/UserDocsImages/dokumenti/Nikola/popis%20dokaza%20za%20ostvarivanje%20prava%20prednosti%20pri%20zapo%C5%A1ljavanju-%20ZOHBDR%202021.pdf" </w:instrText>
      </w:r>
      <w:r>
        <w:fldChar w:fldCharType="separate"/>
      </w:r>
      <w:r>
        <w:rPr>
          <w:rStyle w:val="21"/>
          <w:rFonts w:ascii="Times New Roman" w:hAnsi="Times New Roman"/>
          <w:sz w:val="22"/>
          <w:szCs w:val="22"/>
          <w:u w:val="single"/>
        </w:rPr>
        <w:t>https://branitelji.gov.hr/UserDocsImages//dokumenti/Nikola//popis%20dokaza%20za%20ostvarivanje%20prava%20prednosti%20pri%20zapo%C5%A1ljavanju-%20ZOHBDR%202021.pdf</w:t>
      </w:r>
      <w:r>
        <w:fldChar w:fldCharType="end"/>
      </w:r>
    </w:p>
    <w:p w14:paraId="42F4E73B">
      <w:pPr>
        <w:pStyle w:val="18"/>
        <w:shd w:val="clear" w:color="auto" w:fill="FFFFFF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 xml:space="preserve"> </w:t>
      </w:r>
    </w:p>
    <w:p w14:paraId="2CA11E5D">
      <w:pPr>
        <w:pStyle w:val="18"/>
        <w:shd w:val="clear" w:color="auto" w:fill="FFFFFF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 xml:space="preserve"> </w:t>
      </w:r>
    </w:p>
    <w:p w14:paraId="3E2D7E1F">
      <w:pPr>
        <w:pStyle w:val="18"/>
        <w:shd w:val="clear" w:color="auto" w:fill="FFFFFF"/>
        <w:textAlignment w:val="baseline"/>
        <w:rPr>
          <w:color w:val="231F20"/>
          <w:sz w:val="22"/>
          <w:szCs w:val="22"/>
        </w:rPr>
      </w:pPr>
      <w:r>
        <w:rPr>
          <w:color w:val="231F20"/>
          <w:sz w:val="22"/>
          <w:szCs w:val="22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520637C0">
      <w:pPr>
        <w:jc w:val="both"/>
        <w:rPr>
          <w:rStyle w:val="21"/>
          <w:rFonts w:ascii="Times New Roman" w:hAnsi="Times New Roman"/>
          <w:sz w:val="22"/>
          <w:szCs w:val="22"/>
        </w:rPr>
      </w:pPr>
      <w:r>
        <w:rPr>
          <w:rFonts w:ascii="Times New Roman" w:hAnsi="Times New Roman" w:eastAsia="Calibri"/>
          <w:color w:val="231F20"/>
          <w:sz w:val="22"/>
          <w:szCs w:val="22"/>
        </w:rPr>
        <w:t xml:space="preserve">Poveznica na internetsku stranicu Ministarstva hrvatskih branitelja s popisom dokaza potrebnih za ostvarivanja prava prednosti: </w:t>
      </w:r>
      <w:r>
        <w:fldChar w:fldCharType="begin"/>
      </w:r>
      <w:r>
        <w:instrText xml:space="preserve">HYPERLINK "https://branitelji.gov.hr/UserDocsImages/dokumenti/Nikola/popis%20dokaza%20za%20ostvarivanje%20prava%20prednosti%20pri%20zapo%C5%A1ljavanju-%20Zakon%20o%20civilnim%20stradalnicima%20iz%20DR.pdf" </w:instrText>
      </w:r>
      <w:r>
        <w:fldChar w:fldCharType="separate"/>
      </w:r>
      <w:r>
        <w:rPr>
          <w:rStyle w:val="21"/>
          <w:rFonts w:ascii="Times New Roman" w:hAnsi="Times New Roman" w:eastAsia="Calibri"/>
          <w:sz w:val="22"/>
          <w:szCs w:val="22"/>
          <w:u w:val="single"/>
        </w:rPr>
        <w:t>https://branitelji.gov.hr/UserDocsImages//dokumenti/Nikola//popis%20dokaza%20za%20ostvarivanje%20prava%20prednosti%20pri%20zapo%C5%A1ljavanju-%20Zakon%20o%20civilnim%20stradalnicima%20iz%20DR.pdf</w:t>
      </w:r>
      <w:r>
        <w:fldChar w:fldCharType="end"/>
      </w:r>
    </w:p>
    <w:p w14:paraId="608CA45A">
      <w:pPr>
        <w:rPr>
          <w:rFonts w:ascii="Times New Roman" w:hAnsi="Times New Roman"/>
          <w:color w:val="000000"/>
          <w:sz w:val="22"/>
          <w:szCs w:val="22"/>
        </w:rPr>
      </w:pPr>
      <w:r>
        <w:rPr>
          <w:rFonts w:ascii="Times New Roman" w:hAnsi="Times New Roman"/>
          <w:color w:val="000000"/>
          <w:sz w:val="22"/>
          <w:szCs w:val="22"/>
        </w:rPr>
        <w:t xml:space="preserve"> </w:t>
      </w:r>
    </w:p>
    <w:p w14:paraId="177AECEC">
      <w:pPr>
        <w:jc w:val="both"/>
        <w:rPr>
          <w:rFonts w:ascii="Times New Roman" w:hAnsi="Times New Roman" w:eastAsia="Calibri"/>
          <w:color w:val="000000"/>
          <w:sz w:val="22"/>
          <w:szCs w:val="22"/>
          <w:u w:val="single"/>
        </w:rPr>
      </w:pPr>
      <w:r>
        <w:rPr>
          <w:rFonts w:ascii="Times New Roman" w:hAnsi="Times New Roman" w:eastAsia="Calibri"/>
          <w:sz w:val="22"/>
          <w:szCs w:val="22"/>
        </w:rPr>
        <w:t>Kandidat/kinja koji/a</w:t>
      </w:r>
      <w:r>
        <w:rPr>
          <w:rFonts w:ascii="Times New Roman" w:hAnsi="Times New Roman" w:eastAsia="Calibri"/>
          <w:color w:val="000000"/>
          <w:sz w:val="22"/>
          <w:szCs w:val="22"/>
        </w:rPr>
        <w:t xml:space="preserve"> je pravodobno dostavio/la potpunu prijavu sa svim prilozima odnosno ispravama i ispunjava uvjete natječaja </w:t>
      </w:r>
      <w:r>
        <w:rPr>
          <w:rFonts w:ascii="Times New Roman" w:hAnsi="Times New Roman" w:eastAsia="Calibri"/>
          <w:sz w:val="22"/>
          <w:szCs w:val="22"/>
        </w:rPr>
        <w:t>dužan/a</w:t>
      </w:r>
      <w:r>
        <w:rPr>
          <w:rFonts w:ascii="Times New Roman" w:hAnsi="Times New Roman" w:eastAsia="Calibri"/>
          <w:color w:val="000000"/>
          <w:sz w:val="22"/>
          <w:szCs w:val="22"/>
        </w:rPr>
        <w:t xml:space="preserve"> je pristupiti procjeni</w:t>
      </w:r>
      <w:r>
        <w:rPr>
          <w:rFonts w:ascii="Times New Roman" w:hAnsi="Times New Roman" w:eastAsia="Calibri"/>
          <w:sz w:val="22"/>
          <w:szCs w:val="22"/>
        </w:rPr>
        <w:t xml:space="preserve"> odnosno testiranju </w:t>
      </w:r>
      <w:r>
        <w:rPr>
          <w:rFonts w:ascii="Times New Roman" w:hAnsi="Times New Roman" w:eastAsia="Calibri"/>
          <w:color w:val="000000"/>
          <w:sz w:val="22"/>
          <w:szCs w:val="22"/>
        </w:rPr>
        <w:t xml:space="preserve">prema odredbama </w:t>
      </w:r>
      <w:r>
        <w:rPr>
          <w:rFonts w:ascii="Times New Roman" w:hAnsi="Times New Roman" w:eastAsia="Calibri"/>
          <w:sz w:val="22"/>
          <w:szCs w:val="22"/>
          <w:u w:val="single"/>
        </w:rPr>
        <w:t>Pravilnika o postupku zapošljavanja te procjeni i vrednovanju kandidata za zapošljavanje</w:t>
      </w:r>
      <w:r>
        <w:rPr>
          <w:rFonts w:ascii="Times New Roman" w:hAnsi="Times New Roman" w:eastAsia="Calibri"/>
          <w:color w:val="000000"/>
          <w:sz w:val="22"/>
          <w:szCs w:val="22"/>
          <w:u w:val="single"/>
        </w:rPr>
        <w:t xml:space="preserve"> (objavljen na mrežnim stranicama </w:t>
      </w:r>
      <w:r>
        <w:fldChar w:fldCharType="begin"/>
      </w:r>
      <w:r>
        <w:instrText xml:space="preserve">HYPERLINK "http://os-mbegovica-vrlika.skole.hr/" </w:instrText>
      </w:r>
      <w:r>
        <w:fldChar w:fldCharType="separate"/>
      </w:r>
      <w:r>
        <w:rPr>
          <w:rStyle w:val="21"/>
          <w:rFonts w:ascii="Times New Roman" w:hAnsi="Times New Roman" w:eastAsia="Calibri"/>
          <w:sz w:val="22"/>
          <w:szCs w:val="22"/>
          <w:u w:val="single"/>
        </w:rPr>
        <w:t>http://os-mbegovica-vrlika.skole.hr/</w:t>
      </w:r>
      <w:r>
        <w:fldChar w:fldCharType="end"/>
      </w:r>
      <w:r>
        <w:rPr>
          <w:rFonts w:ascii="Times New Roman" w:hAnsi="Times New Roman" w:eastAsia="Calibri"/>
          <w:color w:val="000000"/>
          <w:sz w:val="22"/>
          <w:szCs w:val="22"/>
          <w:u w:val="single"/>
        </w:rPr>
        <w:t>).</w:t>
      </w:r>
    </w:p>
    <w:p w14:paraId="135E0421">
      <w:pPr>
        <w:jc w:val="both"/>
        <w:rPr>
          <w:rFonts w:ascii="Times New Roman" w:hAnsi="Times New Roman" w:eastAsia="Calibri"/>
          <w:color w:val="000000"/>
          <w:sz w:val="22"/>
          <w:szCs w:val="22"/>
          <w:u w:val="single"/>
        </w:rPr>
      </w:pPr>
    </w:p>
    <w:p w14:paraId="084B0F23">
      <w:pPr>
        <w:jc w:val="both"/>
        <w:rPr>
          <w:rFonts w:ascii="Times New Roman" w:hAnsi="Times New Roman" w:eastAsia="Calibri"/>
          <w:color w:val="000000"/>
          <w:sz w:val="22"/>
          <w:szCs w:val="22"/>
        </w:rPr>
      </w:pPr>
      <w:r>
        <w:rPr>
          <w:rFonts w:ascii="Times New Roman" w:hAnsi="Times New Roman" w:eastAsia="Calibri"/>
          <w:color w:val="000000"/>
          <w:sz w:val="22"/>
          <w:szCs w:val="22"/>
        </w:rPr>
        <w:t xml:space="preserve">Povjerenstvo će pozvati kandidate/kinje na procjenu odnosno testiranje najmanje pet dana prije dana određenog za procjenu odnosno testiranje. U pozivu će biti naveden način i područje procjene odnosno testiranja. Poziv će se dostaviti putem elektroničke pošte na e-mail kandidata i bit će objavljen na javno dostupnim mrežnim stranicama Škole </w:t>
      </w:r>
      <w:r>
        <w:fldChar w:fldCharType="begin"/>
      </w:r>
      <w:r>
        <w:instrText xml:space="preserve">HYPERLINK "http://os-mbegovica-vrlika.skole.hr/" </w:instrText>
      </w:r>
      <w:r>
        <w:fldChar w:fldCharType="separate"/>
      </w:r>
      <w:r>
        <w:rPr>
          <w:rStyle w:val="21"/>
          <w:rFonts w:ascii="Times New Roman" w:hAnsi="Times New Roman" w:eastAsia="Calibri"/>
          <w:sz w:val="22"/>
          <w:szCs w:val="22"/>
          <w:u w:val="single"/>
        </w:rPr>
        <w:t>http://os-mbegovica-vrlika.skole.hr/</w:t>
      </w:r>
      <w:r>
        <w:fldChar w:fldCharType="end"/>
      </w:r>
      <w:r>
        <w:rPr>
          <w:rFonts w:ascii="Times New Roman" w:hAnsi="Times New Roman" w:eastAsia="Calibri"/>
          <w:color w:val="000000"/>
          <w:sz w:val="22"/>
          <w:szCs w:val="22"/>
        </w:rPr>
        <w:t>. Kandidat koji nije pristupio procjeni odnosno testiranju ne smatra se kandidatom/kinjom.</w:t>
      </w:r>
    </w:p>
    <w:p w14:paraId="6417D0BB">
      <w:pPr>
        <w:jc w:val="both"/>
        <w:rPr>
          <w:rFonts w:ascii="Times New Roman" w:hAnsi="Times New Roman" w:eastAsia="Calibri"/>
          <w:color w:val="000000"/>
          <w:sz w:val="22"/>
          <w:szCs w:val="22"/>
        </w:rPr>
      </w:pPr>
    </w:p>
    <w:p w14:paraId="7FD7636D">
      <w:pPr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Kandidat/kinja </w:t>
      </w:r>
      <w:r>
        <w:rPr>
          <w:rFonts w:ascii="Times New Roman" w:hAnsi="Times New Roman" w:eastAsia="Calibri"/>
          <w:color w:val="000000"/>
          <w:sz w:val="22"/>
          <w:szCs w:val="22"/>
        </w:rPr>
        <w:t xml:space="preserve">prijavom na natječaj </w:t>
      </w:r>
      <w:r>
        <w:rPr>
          <w:rFonts w:ascii="Times New Roman" w:hAnsi="Times New Roman" w:eastAsia="Calibri"/>
          <w:sz w:val="22"/>
          <w:szCs w:val="22"/>
        </w:rPr>
        <w:t xml:space="preserve">daje </w:t>
      </w:r>
      <w:r>
        <w:rPr>
          <w:rFonts w:ascii="Times New Roman" w:hAnsi="Times New Roman" w:eastAsia="Calibri"/>
          <w:color w:val="000000"/>
          <w:sz w:val="22"/>
          <w:szCs w:val="22"/>
        </w:rPr>
        <w:t>privolu za obradu osobnih podataka navedenih u svim dostavljenim prilozima odnosno ispravama za potrebe provedbe natječajnog postupka</w:t>
      </w:r>
      <w:r>
        <w:rPr>
          <w:rFonts w:ascii="Times New Roman" w:hAnsi="Times New Roman" w:eastAsia="Calibri"/>
          <w:sz w:val="22"/>
          <w:szCs w:val="22"/>
        </w:rPr>
        <w:t xml:space="preserve"> sukladno važećim propisima o zaštiti osobnih podataka.</w:t>
      </w:r>
    </w:p>
    <w:p w14:paraId="40D99759">
      <w:pPr>
        <w:jc w:val="both"/>
        <w:rPr>
          <w:rFonts w:ascii="Times New Roman" w:hAnsi="Times New Roman" w:eastAsia="Calibri"/>
          <w:color w:val="000000"/>
          <w:sz w:val="22"/>
          <w:szCs w:val="22"/>
        </w:rPr>
      </w:pPr>
    </w:p>
    <w:p w14:paraId="1AE8A524">
      <w:pPr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Rok za podnošenje prijave na natječaj je osam dana od dana objave natječaja.</w:t>
      </w:r>
    </w:p>
    <w:p w14:paraId="15497BA4">
      <w:pPr>
        <w:rPr>
          <w:rFonts w:ascii="Times New Roman" w:hAnsi="Times New Roman" w:eastAsia="Calibri"/>
          <w:sz w:val="22"/>
          <w:szCs w:val="22"/>
        </w:rPr>
      </w:pPr>
    </w:p>
    <w:p w14:paraId="24F681CE">
      <w:pPr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Datum objave na mrežnim stranicama i oglasnoj ploči Hrvatskog zavoda za zapošljavanje i  mrežnim stranicama i oglasnoj ploči školske ustanove je 06. listopada 2026. godine.</w:t>
      </w:r>
    </w:p>
    <w:p w14:paraId="7CB4FE02">
      <w:pPr>
        <w:rPr>
          <w:rFonts w:ascii="Times New Roman" w:hAnsi="Times New Roman" w:eastAsia="Calibri"/>
          <w:color w:val="000000"/>
          <w:sz w:val="22"/>
          <w:szCs w:val="22"/>
        </w:rPr>
      </w:pPr>
    </w:p>
    <w:p w14:paraId="1813A0AF">
      <w:pPr>
        <w:jc w:val="both"/>
        <w:rPr>
          <w:rFonts w:ascii="Times New Roman" w:hAnsi="Times New Roman" w:eastAsia="Calibri"/>
          <w:color w:val="000000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Prijave na natječaj dostavljaju se neposredno ili poštom na adresu: Osnovna škola Milana Begovića, Trg dr. Franje Tuđmana 6, 21 236 Vrlika s naznakom „Za natječaj-učitelj/ica razredne nastave</w:t>
      </w:r>
      <w:r>
        <w:rPr>
          <w:rFonts w:ascii="Times New Roman" w:hAnsi="Times New Roman"/>
          <w:sz w:val="22"/>
          <w:szCs w:val="22"/>
        </w:rPr>
        <w:t>“.</w:t>
      </w:r>
    </w:p>
    <w:p w14:paraId="4ED9296C">
      <w:pPr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Nepravodobne i nepotpune prijave neće se razmatrati.</w:t>
      </w:r>
    </w:p>
    <w:p w14:paraId="4ED2ACB6">
      <w:pPr>
        <w:rPr>
          <w:rFonts w:ascii="Times New Roman" w:hAnsi="Times New Roman" w:eastAsia="Calibri"/>
          <w:color w:val="000000"/>
          <w:sz w:val="22"/>
          <w:szCs w:val="22"/>
        </w:rPr>
      </w:pPr>
    </w:p>
    <w:p w14:paraId="7C04E15B">
      <w:pPr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Kandidat/kinja prijavljen/na na natječaj bit će obaviješten/na putem mrežne stranice školske ustanove http://os-mbegovica-vrlika.skole.hr/, najkasnije u roku od petnaest dana od dana sklapanja ugovora o radu s </w:t>
      </w:r>
      <w:r>
        <w:rPr>
          <w:rFonts w:ascii="Times New Roman" w:hAnsi="Times New Roman" w:eastAsia="Calibri"/>
          <w:color w:val="000000"/>
          <w:sz w:val="22"/>
          <w:szCs w:val="22"/>
        </w:rPr>
        <w:t>odabranim/om</w:t>
      </w:r>
      <w:r>
        <w:rPr>
          <w:rFonts w:ascii="Times New Roman" w:hAnsi="Times New Roman" w:eastAsia="Calibri"/>
          <w:sz w:val="22"/>
          <w:szCs w:val="22"/>
        </w:rPr>
        <w:t xml:space="preserve"> kandidatom/kinjom. U slučaju da se na natječaj prijave kandidati/kinje koji se pozivaju na pravo prednosti pri zapošljavanju prema posebnom propisu, svi će kandidati biti obaviješteni i prema članku 23. stavku 4. Pravilnika.</w:t>
      </w:r>
    </w:p>
    <w:p w14:paraId="78790A7A">
      <w:pPr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 </w:t>
      </w:r>
    </w:p>
    <w:p w14:paraId="1FE4D34D">
      <w:pPr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>Natječaj će biti otvoren od 06. listopada 2026. do 14. listopada 2026. godine.</w:t>
      </w:r>
    </w:p>
    <w:p w14:paraId="641B50E3">
      <w:pPr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 </w:t>
      </w:r>
    </w:p>
    <w:p w14:paraId="472F3394">
      <w:pPr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                                                                                                     Ravnateljica:</w:t>
      </w:r>
    </w:p>
    <w:p w14:paraId="2877C0CA">
      <w:pPr>
        <w:jc w:val="both"/>
        <w:rPr>
          <w:rFonts w:ascii="Times New Roman" w:hAnsi="Times New Roman" w:eastAsia="Calibri"/>
          <w:sz w:val="22"/>
          <w:szCs w:val="22"/>
        </w:rPr>
      </w:pPr>
      <w:r>
        <w:rPr>
          <w:rFonts w:ascii="Times New Roman" w:hAnsi="Times New Roman" w:eastAsia="Calibri"/>
          <w:sz w:val="22"/>
          <w:szCs w:val="22"/>
        </w:rPr>
        <w:t xml:space="preserve">                                                                                       Mirjana Vodanović Mandarić, prof.</w:t>
      </w:r>
    </w:p>
    <w:p w14:paraId="5F40E333">
      <w:pPr>
        <w:rPr>
          <w:rFonts w:ascii="Times New Roman" w:hAnsi="Times New Roman" w:eastAsia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</w:p>
    <w:p w14:paraId="2828D343">
      <w:p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</w:t>
      </w:r>
    </w:p>
    <w:p w14:paraId="4A9AA927">
      <w:pPr>
        <w:rPr>
          <w:rFonts w:ascii="Times New Roman" w:hAnsi="Times New Roman"/>
          <w:sz w:val="22"/>
          <w:szCs w:val="22"/>
        </w:rPr>
      </w:pPr>
    </w:p>
    <w:sectPr>
      <w:pgSz w:w="11906" w:h="16838"/>
      <w:pgMar w:top="1417" w:right="1417" w:bottom="1417" w:left="1417" w:header="708" w:footer="708" w:gutter="0"/>
      <w:pgNumType w:fmt="decimal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8"/>
    <w:family w:val="roman"/>
    <w:pitch w:val="default"/>
    <w:sig w:usb0="E0002EFF" w:usb1="C0007843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43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libri Light">
    <w:panose1 w:val="020F0302020204030204"/>
    <w:charset w:val="38"/>
    <w:family w:val="swiss"/>
    <w:pitch w:val="default"/>
    <w:sig w:usb0="A00002EF" w:usb1="4000207B" w:usb2="00000000" w:usb3="00000000" w:csb0="2000019F" w:csb1="00000000"/>
  </w:font>
  <w:font w:name="Calibri Light">
    <w:panose1 w:val="020F0302020204030204"/>
    <w:charset w:val="00"/>
    <w:family w:val="auto"/>
    <w:pitch w:val="default"/>
    <w:sig w:usb0="A00002EF" w:usb1="4000207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BE07D85"/>
    <w:multiLevelType w:val="multilevel"/>
    <w:tmpl w:val="2BE07D85"/>
    <w:lvl w:ilvl="0" w:tentative="0">
      <w:start w:val="1"/>
      <w:numFmt w:val="decimal"/>
      <w:lvlText w:val="%1."/>
      <w:lvlJc w:val="left"/>
      <w:pPr>
        <w:tabs>
          <w:tab w:val="left" w:pos="0"/>
          <w:tab w:val="left" w:pos="540"/>
          <w:tab w:val="left" w:pos="720"/>
        </w:tabs>
        <w:ind w:left="720" w:hanging="360"/>
      </w:pPr>
      <w:rPr>
        <w:rFonts w:hint="default" w:ascii="Times New Roman" w:hAnsi="Times New Roman" w:cs="Times New Roman"/>
        <w:i w:val="0"/>
      </w:rPr>
    </w:lvl>
    <w:lvl w:ilvl="1" w:tentative="0">
      <w:start w:val="1"/>
      <w:numFmt w:val="decimal"/>
      <w:lvlText w:val="%2."/>
      <w:lvlJc w:val="left"/>
      <w:pPr>
        <w:tabs>
          <w:tab w:val="left" w:pos="0"/>
          <w:tab w:val="left" w:pos="1080"/>
          <w:tab w:val="left" w:pos="1440"/>
        </w:tabs>
        <w:ind w:left="1440" w:hanging="360"/>
      </w:pPr>
      <w:rPr>
        <w:rFonts w:hint="default" w:ascii="Times New Roman" w:hAnsi="Times New Roman" w:cs="Times New Roman"/>
      </w:rPr>
    </w:lvl>
    <w:lvl w:ilvl="2" w:tentative="0">
      <w:start w:val="1"/>
      <w:numFmt w:val="decimal"/>
      <w:lvlText w:val="%3."/>
      <w:lvlJc w:val="left"/>
      <w:pPr>
        <w:tabs>
          <w:tab w:val="left" w:pos="0"/>
          <w:tab w:val="left" w:pos="1620"/>
          <w:tab w:val="left" w:pos="2160"/>
        </w:tabs>
        <w:ind w:left="2160" w:hanging="36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0"/>
          <w:tab w:val="left" w:pos="2160"/>
          <w:tab w:val="left" w:pos="2880"/>
        </w:tabs>
        <w:ind w:left="2880" w:hanging="360"/>
      </w:pPr>
      <w:rPr>
        <w:rFonts w:hint="default" w:ascii="Times New Roman" w:hAnsi="Times New Roman" w:cs="Times New Roman"/>
      </w:rPr>
    </w:lvl>
    <w:lvl w:ilvl="4" w:tentative="0">
      <w:start w:val="1"/>
      <w:numFmt w:val="decimal"/>
      <w:lvlText w:val="%5."/>
      <w:lvlJc w:val="left"/>
      <w:pPr>
        <w:tabs>
          <w:tab w:val="left" w:pos="0"/>
          <w:tab w:val="left" w:pos="2700"/>
          <w:tab w:val="left" w:pos="3600"/>
        </w:tabs>
        <w:ind w:left="3600" w:hanging="360"/>
      </w:pPr>
      <w:rPr>
        <w:rFonts w:hint="default" w:ascii="Times New Roman" w:hAnsi="Times New Roman" w:cs="Times New Roman"/>
      </w:rPr>
    </w:lvl>
    <w:lvl w:ilvl="5" w:tentative="0">
      <w:start w:val="1"/>
      <w:numFmt w:val="decimal"/>
      <w:lvlText w:val="%6."/>
      <w:lvlJc w:val="left"/>
      <w:pPr>
        <w:tabs>
          <w:tab w:val="left" w:pos="0"/>
          <w:tab w:val="left" w:pos="3240"/>
          <w:tab w:val="left" w:pos="4320"/>
        </w:tabs>
        <w:ind w:left="4320" w:hanging="36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0"/>
          <w:tab w:val="left" w:pos="3780"/>
          <w:tab w:val="left" w:pos="5040"/>
        </w:tabs>
        <w:ind w:left="5040" w:hanging="360"/>
      </w:pPr>
      <w:rPr>
        <w:rFonts w:hint="default" w:ascii="Times New Roman" w:hAnsi="Times New Roman" w:cs="Times New Roman"/>
      </w:rPr>
    </w:lvl>
    <w:lvl w:ilvl="7" w:tentative="0">
      <w:start w:val="1"/>
      <w:numFmt w:val="decimal"/>
      <w:lvlText w:val="%8."/>
      <w:lvlJc w:val="left"/>
      <w:pPr>
        <w:tabs>
          <w:tab w:val="left" w:pos="0"/>
          <w:tab w:val="left" w:pos="4320"/>
          <w:tab w:val="left" w:pos="5760"/>
        </w:tabs>
        <w:ind w:left="5760" w:hanging="360"/>
      </w:pPr>
      <w:rPr>
        <w:rFonts w:hint="default" w:ascii="Times New Roman" w:hAnsi="Times New Roman" w:cs="Times New Roman"/>
      </w:rPr>
    </w:lvl>
    <w:lvl w:ilvl="8" w:tentative="0">
      <w:start w:val="1"/>
      <w:numFmt w:val="decimal"/>
      <w:lvlText w:val="%9."/>
      <w:lvlJc w:val="left"/>
      <w:pPr>
        <w:tabs>
          <w:tab w:val="left" w:pos="0"/>
          <w:tab w:val="left" w:pos="4860"/>
          <w:tab w:val="left" w:pos="6480"/>
        </w:tabs>
        <w:ind w:left="6480" w:hanging="360"/>
      </w:pPr>
      <w:rPr>
        <w:rFonts w:hint="default" w:ascii="Times New Roman" w:hAnsi="Times New Roman" w:cs="Times New Roman"/>
      </w:rPr>
    </w:lvl>
  </w:abstractNum>
  <w:abstractNum w:abstractNumId="1">
    <w:nsid w:val="3F6C476F"/>
    <w:multiLevelType w:val="multilevel"/>
    <w:tmpl w:val="3F6C476F"/>
    <w:lvl w:ilvl="0" w:tentative="0">
      <w:start w:val="1"/>
      <w:numFmt w:val="decimal"/>
      <w:lvlText w:val="%1."/>
      <w:lvlJc w:val="left"/>
      <w:pPr>
        <w:tabs>
          <w:tab w:val="left" w:pos="0"/>
          <w:tab w:val="left" w:pos="540"/>
          <w:tab w:val="left" w:pos="720"/>
        </w:tabs>
        <w:ind w:left="720" w:hanging="360"/>
      </w:pPr>
      <w:rPr>
        <w:rFonts w:hint="default" w:ascii="Times New Roman" w:hAnsi="Times New Roman" w:cs="Times New Roman"/>
        <w:i w:val="0"/>
      </w:rPr>
    </w:lvl>
    <w:lvl w:ilvl="1" w:tentative="0">
      <w:start w:val="1"/>
      <w:numFmt w:val="decimal"/>
      <w:lvlText w:val="%2."/>
      <w:lvlJc w:val="left"/>
      <w:pPr>
        <w:tabs>
          <w:tab w:val="left" w:pos="0"/>
          <w:tab w:val="left" w:pos="1080"/>
          <w:tab w:val="left" w:pos="1440"/>
        </w:tabs>
        <w:ind w:left="1440" w:hanging="360"/>
      </w:pPr>
      <w:rPr>
        <w:rFonts w:hint="default" w:ascii="Times New Roman" w:hAnsi="Times New Roman" w:cs="Times New Roman"/>
      </w:rPr>
    </w:lvl>
    <w:lvl w:ilvl="2" w:tentative="0">
      <w:start w:val="1"/>
      <w:numFmt w:val="decimal"/>
      <w:lvlText w:val="%3."/>
      <w:lvlJc w:val="left"/>
      <w:pPr>
        <w:tabs>
          <w:tab w:val="left" w:pos="0"/>
          <w:tab w:val="left" w:pos="1620"/>
          <w:tab w:val="left" w:pos="2160"/>
        </w:tabs>
        <w:ind w:left="2160" w:hanging="360"/>
      </w:pPr>
      <w:rPr>
        <w:rFonts w:hint="default" w:ascii="Times New Roman" w:hAnsi="Times New Roman" w:cs="Times New Roman"/>
      </w:rPr>
    </w:lvl>
    <w:lvl w:ilvl="3" w:tentative="0">
      <w:start w:val="1"/>
      <w:numFmt w:val="decimal"/>
      <w:lvlText w:val="%4."/>
      <w:lvlJc w:val="left"/>
      <w:pPr>
        <w:tabs>
          <w:tab w:val="left" w:pos="0"/>
          <w:tab w:val="left" w:pos="2160"/>
          <w:tab w:val="left" w:pos="2880"/>
        </w:tabs>
        <w:ind w:left="2880" w:hanging="360"/>
      </w:pPr>
      <w:rPr>
        <w:rFonts w:hint="default" w:ascii="Times New Roman" w:hAnsi="Times New Roman" w:cs="Times New Roman"/>
      </w:rPr>
    </w:lvl>
    <w:lvl w:ilvl="4" w:tentative="0">
      <w:start w:val="1"/>
      <w:numFmt w:val="decimal"/>
      <w:lvlText w:val="%5."/>
      <w:lvlJc w:val="left"/>
      <w:pPr>
        <w:tabs>
          <w:tab w:val="left" w:pos="0"/>
          <w:tab w:val="left" w:pos="2700"/>
          <w:tab w:val="left" w:pos="3600"/>
        </w:tabs>
        <w:ind w:left="3600" w:hanging="360"/>
      </w:pPr>
      <w:rPr>
        <w:rFonts w:hint="default" w:ascii="Times New Roman" w:hAnsi="Times New Roman" w:cs="Times New Roman"/>
      </w:rPr>
    </w:lvl>
    <w:lvl w:ilvl="5" w:tentative="0">
      <w:start w:val="1"/>
      <w:numFmt w:val="decimal"/>
      <w:lvlText w:val="%6."/>
      <w:lvlJc w:val="left"/>
      <w:pPr>
        <w:tabs>
          <w:tab w:val="left" w:pos="0"/>
          <w:tab w:val="left" w:pos="3240"/>
          <w:tab w:val="left" w:pos="4320"/>
        </w:tabs>
        <w:ind w:left="4320" w:hanging="360"/>
      </w:pPr>
      <w:rPr>
        <w:rFonts w:hint="default" w:ascii="Times New Roman" w:hAnsi="Times New Roman" w:cs="Times New Roman"/>
      </w:rPr>
    </w:lvl>
    <w:lvl w:ilvl="6" w:tentative="0">
      <w:start w:val="1"/>
      <w:numFmt w:val="decimal"/>
      <w:lvlText w:val="%7."/>
      <w:lvlJc w:val="left"/>
      <w:pPr>
        <w:tabs>
          <w:tab w:val="left" w:pos="0"/>
          <w:tab w:val="left" w:pos="3780"/>
          <w:tab w:val="left" w:pos="5040"/>
        </w:tabs>
        <w:ind w:left="5040" w:hanging="360"/>
      </w:pPr>
      <w:rPr>
        <w:rFonts w:hint="default" w:ascii="Times New Roman" w:hAnsi="Times New Roman" w:cs="Times New Roman"/>
      </w:rPr>
    </w:lvl>
    <w:lvl w:ilvl="7" w:tentative="0">
      <w:start w:val="1"/>
      <w:numFmt w:val="decimal"/>
      <w:lvlText w:val="%8."/>
      <w:lvlJc w:val="left"/>
      <w:pPr>
        <w:tabs>
          <w:tab w:val="left" w:pos="0"/>
          <w:tab w:val="left" w:pos="4320"/>
          <w:tab w:val="left" w:pos="5760"/>
        </w:tabs>
        <w:ind w:left="5760" w:hanging="360"/>
      </w:pPr>
      <w:rPr>
        <w:rFonts w:hint="default" w:ascii="Times New Roman" w:hAnsi="Times New Roman" w:cs="Times New Roman"/>
      </w:rPr>
    </w:lvl>
    <w:lvl w:ilvl="8" w:tentative="0">
      <w:start w:val="1"/>
      <w:numFmt w:val="decimal"/>
      <w:lvlText w:val="%9."/>
      <w:lvlJc w:val="left"/>
      <w:pPr>
        <w:tabs>
          <w:tab w:val="left" w:pos="0"/>
          <w:tab w:val="left" w:pos="4860"/>
          <w:tab w:val="left" w:pos="6480"/>
        </w:tabs>
        <w:ind w:left="6480" w:hanging="360"/>
      </w:pPr>
      <w:rPr>
        <w:rFonts w:hint="default" w:ascii="Times New Roman" w:hAnsi="Times New Roman"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366F179A"/>
    <w:rsid w:val="3D6C2F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Times New Roman" w:asciiTheme="minorHAnsi" w:hAnsiTheme="minorHAnsi" w:eastAsiaTheme="minorEastAsia"/>
      <w:sz w:val="24"/>
      <w:szCs w:val="24"/>
      <w:lang w:val="hr-HR" w:eastAsia="en-US" w:bidi="ar-SA"/>
    </w:rPr>
  </w:style>
  <w:style w:type="paragraph" w:styleId="2">
    <w:name w:val="heading 1"/>
    <w:basedOn w:val="1"/>
    <w:next w:val="1"/>
    <w:qFormat/>
    <w:uiPriority w:val="9"/>
    <w:pPr>
      <w:keepNext/>
      <w:spacing w:before="240" w:after="60"/>
      <w:outlineLvl w:val="0"/>
    </w:pPr>
    <w:rPr>
      <w:rFonts w:asciiTheme="majorHAnsi" w:hAnsiTheme="majorHAnsi" w:eastAsiaTheme="majorEastAsia"/>
      <w:b/>
      <w:bCs/>
      <w:kern w:val="32"/>
      <w:sz w:val="32"/>
      <w:szCs w:val="32"/>
    </w:rPr>
  </w:style>
  <w:style w:type="paragraph" w:styleId="3">
    <w:name w:val="heading 2"/>
    <w:basedOn w:val="1"/>
    <w:next w:val="1"/>
    <w:semiHidden/>
    <w:unhideWhenUsed/>
    <w:qFormat/>
    <w:uiPriority w:val="9"/>
    <w:pPr>
      <w:keepNext/>
      <w:spacing w:before="240" w:after="60"/>
      <w:outlineLvl w:val="1"/>
    </w:pPr>
    <w:rPr>
      <w:rFonts w:asciiTheme="majorHAnsi" w:hAnsiTheme="majorHAnsi" w:eastAsiaTheme="majorEastAsia"/>
      <w:b/>
      <w:bCs/>
      <w:i/>
      <w:iCs/>
      <w:sz w:val="28"/>
      <w:szCs w:val="28"/>
    </w:rPr>
  </w:style>
  <w:style w:type="paragraph" w:styleId="4">
    <w:name w:val="heading 3"/>
    <w:basedOn w:val="1"/>
    <w:next w:val="1"/>
    <w:semiHidden/>
    <w:unhideWhenUsed/>
    <w:qFormat/>
    <w:uiPriority w:val="9"/>
    <w:pPr>
      <w:keepNext/>
      <w:spacing w:before="240" w:after="60"/>
      <w:outlineLvl w:val="2"/>
    </w:pPr>
    <w:rPr>
      <w:rFonts w:asciiTheme="majorHAnsi" w:hAnsiTheme="majorHAnsi" w:eastAsiaTheme="majorEastAsia"/>
      <w:b/>
      <w:bCs/>
      <w:sz w:val="26"/>
      <w:szCs w:val="26"/>
    </w:rPr>
  </w:style>
  <w:style w:type="paragraph" w:styleId="5">
    <w:name w:val="heading 4"/>
    <w:basedOn w:val="1"/>
    <w:next w:val="1"/>
    <w:semiHidden/>
    <w:unhideWhenUsed/>
    <w:qFormat/>
    <w:uiPriority w:val="9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5"/>
    <w:basedOn w:val="1"/>
    <w:next w:val="1"/>
    <w:semiHidden/>
    <w:unhideWhenUsed/>
    <w:qFormat/>
    <w:uiPriority w:val="9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6"/>
    <w:basedOn w:val="1"/>
    <w:next w:val="1"/>
    <w:semiHidden/>
    <w:unhideWhenUsed/>
    <w:qFormat/>
    <w:uiPriority w:val="9"/>
    <w:p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semiHidden/>
    <w:unhideWhenUsed/>
    <w:qFormat/>
    <w:uiPriority w:val="9"/>
    <w:pPr>
      <w:spacing w:before="240" w:after="60"/>
      <w:outlineLvl w:val="6"/>
    </w:pPr>
  </w:style>
  <w:style w:type="paragraph" w:styleId="9">
    <w:name w:val="heading 8"/>
    <w:basedOn w:val="1"/>
    <w:next w:val="1"/>
    <w:semiHidden/>
    <w:unhideWhenUsed/>
    <w:qFormat/>
    <w:uiPriority w:val="9"/>
    <w:pPr>
      <w:spacing w:before="240" w:after="60"/>
      <w:outlineLvl w:val="7"/>
    </w:pPr>
    <w:rPr>
      <w:i/>
      <w:iCs/>
    </w:rPr>
  </w:style>
  <w:style w:type="paragraph" w:styleId="10">
    <w:name w:val="heading 9"/>
    <w:basedOn w:val="1"/>
    <w:next w:val="1"/>
    <w:semiHidden/>
    <w:unhideWhenUsed/>
    <w:qFormat/>
    <w:uiPriority w:val="9"/>
    <w:pPr>
      <w:spacing w:before="240" w:after="60"/>
      <w:outlineLvl w:val="8"/>
    </w:pPr>
    <w:rPr>
      <w:rFonts w:asciiTheme="majorHAnsi" w:hAnsiTheme="majorHAnsi" w:eastAsiaTheme="majorEastAsia"/>
      <w:sz w:val="22"/>
      <w:szCs w:val="22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13">
    <w:name w:val="Emphasis"/>
    <w:basedOn w:val="11"/>
    <w:qFormat/>
    <w:uiPriority w:val="20"/>
    <w:rPr>
      <w:rFonts w:asciiTheme="minorHAnsi" w:hAnsiTheme="minorHAnsi"/>
      <w:b/>
      <w:i/>
      <w:iCs/>
    </w:rPr>
  </w:style>
  <w:style w:type="character" w:styleId="14">
    <w:name w:val="Strong"/>
    <w:basedOn w:val="11"/>
    <w:qFormat/>
    <w:uiPriority w:val="22"/>
    <w:rPr>
      <w:b/>
      <w:bCs/>
    </w:rPr>
  </w:style>
  <w:style w:type="paragraph" w:styleId="15">
    <w:name w:val="Subtitle"/>
    <w:basedOn w:val="1"/>
    <w:next w:val="1"/>
    <w:qFormat/>
    <w:uiPriority w:val="11"/>
    <w:pPr>
      <w:spacing w:after="60"/>
      <w:jc w:val="center"/>
      <w:outlineLvl w:val="1"/>
    </w:pPr>
    <w:rPr>
      <w:rFonts w:asciiTheme="majorHAnsi" w:hAnsiTheme="majorHAnsi" w:eastAsiaTheme="majorEastAsia"/>
    </w:rPr>
  </w:style>
  <w:style w:type="table" w:styleId="16">
    <w:name w:val="Table Grid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17">
    <w:name w:val="Title"/>
    <w:basedOn w:val="1"/>
    <w:next w:val="1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/>
      <w:b/>
      <w:bCs/>
      <w:kern w:val="28"/>
      <w:sz w:val="32"/>
      <w:szCs w:val="32"/>
    </w:rPr>
  </w:style>
  <w:style w:type="paragraph" w:customStyle="1" w:styleId="18">
    <w:name w:val="box_8321335"/>
    <w:basedOn w:val="1"/>
    <w:qFormat/>
    <w:uiPriority w:val="0"/>
    <w:rPr>
      <w:rFonts w:ascii="Times New Roman" w:hAnsi="Times New Roman"/>
    </w:rPr>
  </w:style>
  <w:style w:type="paragraph" w:customStyle="1" w:styleId="19">
    <w:name w:val="box8249682"/>
    <w:basedOn w:val="1"/>
    <w:qFormat/>
    <w:uiPriority w:val="0"/>
    <w:rPr>
      <w:rFonts w:ascii="Times New Roman" w:hAnsi="Times New Roman"/>
    </w:rPr>
  </w:style>
  <w:style w:type="character" w:customStyle="1" w:styleId="20">
    <w:name w:val="15"/>
    <w:basedOn w:val="11"/>
    <w:qFormat/>
    <w:uiPriority w:val="0"/>
    <w:rPr>
      <w:rFonts w:hint="default" w:ascii="Calibri" w:hAnsi="Calibri"/>
      <w:b/>
      <w:bCs/>
    </w:rPr>
  </w:style>
  <w:style w:type="character" w:customStyle="1" w:styleId="21">
    <w:name w:val="16"/>
    <w:basedOn w:val="11"/>
    <w:qFormat/>
    <w:uiPriority w:val="0"/>
    <w:rPr>
      <w:rFonts w:hint="default" w:ascii="Calibri" w:hAnsi="Calibri"/>
      <w:color w:val="4DB2EC"/>
    </w:rPr>
  </w:style>
  <w:style w:type="table" w:customStyle="1" w:styleId="22">
    <w:name w:val="Rešetka tablice1"/>
    <w:basedOn w:val="12"/>
    <w:qFormat/>
    <w:uiPriority w:val="0"/>
    <w:rPr>
      <w:rFonts w:ascii="Times New Roman" w:hAnsi="Times New Roman" w:eastAsia="Times New Roman"/>
    </w:rPr>
    <w:tblPr>
      <w:tblCellMar>
        <w:left w:w="0" w:type="dxa"/>
        <w:right w:w="0" w:type="dxa"/>
      </w:tblCellMar>
    </w:tblPr>
  </w:style>
  <w:style w:type="character" w:customStyle="1" w:styleId="23">
    <w:name w:val="Naslov 1 Char"/>
    <w:basedOn w:val="11"/>
    <w:qFormat/>
    <w:uiPriority w:val="9"/>
    <w:rPr>
      <w:rFonts w:asciiTheme="majorHAnsi" w:hAnsiTheme="majorHAnsi" w:eastAsiaTheme="majorEastAsia"/>
      <w:b/>
      <w:bCs/>
      <w:kern w:val="32"/>
      <w:sz w:val="32"/>
      <w:szCs w:val="32"/>
    </w:rPr>
  </w:style>
  <w:style w:type="character" w:customStyle="1" w:styleId="24">
    <w:name w:val="Naslov 2 Char"/>
    <w:basedOn w:val="11"/>
    <w:semiHidden/>
    <w:qFormat/>
    <w:uiPriority w:val="9"/>
    <w:rPr>
      <w:rFonts w:asciiTheme="majorHAnsi" w:hAnsiTheme="majorHAnsi" w:eastAsiaTheme="majorEastAsia"/>
      <w:b/>
      <w:bCs/>
      <w:i/>
      <w:iCs/>
      <w:sz w:val="28"/>
      <w:szCs w:val="28"/>
    </w:rPr>
  </w:style>
  <w:style w:type="character" w:customStyle="1" w:styleId="25">
    <w:name w:val="Naslov 3 Char"/>
    <w:basedOn w:val="11"/>
    <w:semiHidden/>
    <w:qFormat/>
    <w:uiPriority w:val="9"/>
    <w:rPr>
      <w:rFonts w:asciiTheme="majorHAnsi" w:hAnsiTheme="majorHAnsi" w:eastAsiaTheme="majorEastAsia"/>
      <w:b/>
      <w:bCs/>
      <w:sz w:val="26"/>
      <w:szCs w:val="26"/>
    </w:rPr>
  </w:style>
  <w:style w:type="character" w:customStyle="1" w:styleId="26">
    <w:name w:val="Naslov 4 Char"/>
    <w:basedOn w:val="11"/>
    <w:semiHidden/>
    <w:qFormat/>
    <w:uiPriority w:val="9"/>
    <w:rPr>
      <w:b/>
      <w:bCs/>
      <w:sz w:val="28"/>
      <w:szCs w:val="28"/>
    </w:rPr>
  </w:style>
  <w:style w:type="character" w:customStyle="1" w:styleId="27">
    <w:name w:val="Naslov 5 Char"/>
    <w:basedOn w:val="11"/>
    <w:semiHidden/>
    <w:qFormat/>
    <w:uiPriority w:val="9"/>
    <w:rPr>
      <w:b/>
      <w:bCs/>
      <w:i/>
      <w:iCs/>
      <w:sz w:val="26"/>
      <w:szCs w:val="26"/>
    </w:rPr>
  </w:style>
  <w:style w:type="character" w:customStyle="1" w:styleId="28">
    <w:name w:val="Naslov 6 Char"/>
    <w:basedOn w:val="11"/>
    <w:semiHidden/>
    <w:qFormat/>
    <w:uiPriority w:val="9"/>
    <w:rPr>
      <w:b/>
      <w:bCs/>
    </w:rPr>
  </w:style>
  <w:style w:type="character" w:customStyle="1" w:styleId="29">
    <w:name w:val="Naslov 7 Char"/>
    <w:basedOn w:val="11"/>
    <w:semiHidden/>
    <w:qFormat/>
    <w:uiPriority w:val="9"/>
    <w:rPr>
      <w:sz w:val="24"/>
      <w:szCs w:val="24"/>
    </w:rPr>
  </w:style>
  <w:style w:type="character" w:customStyle="1" w:styleId="30">
    <w:name w:val="Naslov 8 Char"/>
    <w:basedOn w:val="11"/>
    <w:semiHidden/>
    <w:qFormat/>
    <w:uiPriority w:val="9"/>
    <w:rPr>
      <w:i/>
      <w:iCs/>
      <w:sz w:val="24"/>
      <w:szCs w:val="24"/>
    </w:rPr>
  </w:style>
  <w:style w:type="character" w:customStyle="1" w:styleId="31">
    <w:name w:val="Naslov 9 Char"/>
    <w:basedOn w:val="11"/>
    <w:semiHidden/>
    <w:qFormat/>
    <w:uiPriority w:val="9"/>
    <w:rPr>
      <w:rFonts w:asciiTheme="majorHAnsi" w:hAnsiTheme="majorHAnsi" w:eastAsiaTheme="majorEastAsia"/>
    </w:rPr>
  </w:style>
  <w:style w:type="character" w:customStyle="1" w:styleId="32">
    <w:name w:val="Naslov Char"/>
    <w:basedOn w:val="11"/>
    <w:qFormat/>
    <w:uiPriority w:val="10"/>
    <w:rPr>
      <w:rFonts w:asciiTheme="majorHAnsi" w:hAnsiTheme="majorHAnsi" w:eastAsiaTheme="majorEastAsia"/>
      <w:b/>
      <w:bCs/>
      <w:kern w:val="28"/>
      <w:sz w:val="32"/>
      <w:szCs w:val="32"/>
    </w:rPr>
  </w:style>
  <w:style w:type="character" w:customStyle="1" w:styleId="33">
    <w:name w:val="Podnaslov Char"/>
    <w:basedOn w:val="11"/>
    <w:qFormat/>
    <w:uiPriority w:val="11"/>
    <w:rPr>
      <w:rFonts w:asciiTheme="majorHAnsi" w:hAnsiTheme="majorHAnsi" w:eastAsiaTheme="majorEastAsia"/>
      <w:sz w:val="24"/>
      <w:szCs w:val="24"/>
    </w:rPr>
  </w:style>
  <w:style w:type="paragraph" w:customStyle="1" w:styleId="34">
    <w:name w:val="No Spacing"/>
    <w:basedOn w:val="1"/>
    <w:qFormat/>
    <w:uiPriority w:val="1"/>
    <w:rPr>
      <w:szCs w:val="32"/>
    </w:rPr>
  </w:style>
  <w:style w:type="paragraph" w:styleId="35">
    <w:name w:val="List Paragraph"/>
    <w:basedOn w:val="1"/>
    <w:qFormat/>
    <w:uiPriority w:val="34"/>
    <w:pPr>
      <w:ind w:left="720"/>
      <w:contextualSpacing/>
    </w:pPr>
  </w:style>
  <w:style w:type="paragraph" w:styleId="36">
    <w:name w:val="Quote"/>
    <w:basedOn w:val="1"/>
    <w:next w:val="1"/>
    <w:qFormat/>
    <w:uiPriority w:val="29"/>
    <w:rPr>
      <w:i/>
    </w:rPr>
  </w:style>
  <w:style w:type="character" w:customStyle="1" w:styleId="37">
    <w:name w:val="Citat Char"/>
    <w:basedOn w:val="11"/>
    <w:qFormat/>
    <w:uiPriority w:val="29"/>
    <w:rPr>
      <w:i/>
      <w:sz w:val="24"/>
      <w:szCs w:val="24"/>
    </w:rPr>
  </w:style>
  <w:style w:type="paragraph" w:customStyle="1" w:styleId="38">
    <w:name w:val="Intense Quote"/>
    <w:basedOn w:val="1"/>
    <w:next w:val="1"/>
    <w:qFormat/>
    <w:uiPriority w:val="30"/>
    <w:pPr>
      <w:ind w:left="720" w:right="720"/>
    </w:pPr>
    <w:rPr>
      <w:b/>
      <w:i/>
      <w:szCs w:val="22"/>
    </w:rPr>
  </w:style>
  <w:style w:type="character" w:customStyle="1" w:styleId="39">
    <w:name w:val="Naglašen citat Char"/>
    <w:basedOn w:val="11"/>
    <w:qFormat/>
    <w:uiPriority w:val="30"/>
    <w:rPr>
      <w:b/>
      <w:i/>
      <w:sz w:val="24"/>
    </w:rPr>
  </w:style>
  <w:style w:type="character" w:customStyle="1" w:styleId="40">
    <w:name w:val="Neupadljivo isticanje1"/>
    <w:basedOn w:val="11"/>
    <w:qFormat/>
    <w:uiPriority w:val="19"/>
    <w:rPr>
      <w:i/>
      <w:color w:val="595959"/>
    </w:rPr>
  </w:style>
  <w:style w:type="character" w:customStyle="1" w:styleId="41">
    <w:name w:val="Jako isticanje1"/>
    <w:basedOn w:val="11"/>
    <w:qFormat/>
    <w:uiPriority w:val="21"/>
    <w:rPr>
      <w:b/>
      <w:i/>
      <w:sz w:val="24"/>
      <w:szCs w:val="24"/>
      <w:u w:val="single"/>
    </w:rPr>
  </w:style>
  <w:style w:type="character" w:customStyle="1" w:styleId="42">
    <w:name w:val="Neupadljiva referenca1"/>
    <w:basedOn w:val="11"/>
    <w:qFormat/>
    <w:uiPriority w:val="31"/>
    <w:rPr>
      <w:sz w:val="24"/>
      <w:szCs w:val="24"/>
      <w:u w:val="single"/>
    </w:rPr>
  </w:style>
  <w:style w:type="character" w:customStyle="1" w:styleId="43">
    <w:name w:val="Istaknuta referenca1"/>
    <w:basedOn w:val="11"/>
    <w:qFormat/>
    <w:uiPriority w:val="32"/>
    <w:rPr>
      <w:b/>
      <w:sz w:val="24"/>
      <w:u w:val="single"/>
    </w:rPr>
  </w:style>
  <w:style w:type="character" w:customStyle="1" w:styleId="44">
    <w:name w:val="Naslov knjige1"/>
    <w:basedOn w:val="11"/>
    <w:qFormat/>
    <w:uiPriority w:val="33"/>
    <w:rPr>
      <w:rFonts w:asciiTheme="majorHAnsi" w:hAnsiTheme="majorHAnsi" w:eastAsiaTheme="majorEastAsia"/>
      <w:b/>
      <w:i/>
      <w:sz w:val="24"/>
      <w:szCs w:val="24"/>
    </w:rPr>
  </w:style>
  <w:style w:type="paragraph" w:customStyle="1" w:styleId="45">
    <w:name w:val="TOC Naslov1"/>
    <w:basedOn w:val="2"/>
    <w:next w:val="1"/>
    <w:semiHidden/>
    <w:unhideWhenUsed/>
    <w:qFormat/>
    <w:uiPriority w:val="39"/>
    <w:pPr>
      <w:outlineLvl w:val="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>
          <a:solidFill>
            <a:schemeClr val="phClr"/>
          </a:solidFill>
          <a:prstDash val="solid"/>
          <a:miter lim="800000"/>
        </a:ln>
        <a:ln w="12700" cap="flat" cmpd="sng">
          <a:solidFill>
            <a:schemeClr val="phClr"/>
          </a:solidFill>
          <a:prstDash val="solid"/>
          <a:miter lim="800000"/>
        </a:ln>
        <a:ln w="19050" cap="flat" cmpd="sng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3</Pages>
  <Words>1108</Words>
  <Characters>7170</Characters>
  <Lines>70</Lines>
  <Paragraphs>19</Paragraphs>
  <TotalTime>0</TotalTime>
  <ScaleCrop>false</ScaleCrop>
  <LinksUpToDate>false</LinksUpToDate>
  <CharactersWithSpaces>9297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2026-10-05T08:27:00Z</dcterms:created>
  <dc:creator>Korisnik</dc:creator>
  <cp:lastModifiedBy>Korisnik</cp:lastModifiedBy>
  <dcterms:modified xsi:type="dcterms:W3CDTF">2026-10-05T10:34:27Z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7CA6C1EDBC234A75B0A1A021AA861221_13</vt:lpwstr>
  </property>
  <property fmtid="{D5CDD505-2E9C-101B-9397-08002B2CF9AE}" pid="4" name="KSOTemplateDocerSaveRecord">
    <vt:lpwstr>eyJoZGlkIjoiNjhlMmM0ZGQwZjU1NjIwZDA5Y2U4YzFhYjg2OWIxMjMifQ==</vt:lpwstr>
  </property>
</Properties>
</file>